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85FBF" w:rsidRDefault="00985FBF" w:rsidP="00ED2B6B">
      <w:pPr>
        <w:shd w:val="clear" w:color="auto" w:fill="FFFFFF"/>
        <w:spacing w:line="240" w:lineRule="auto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B673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عملکرد واحد کتابخانه در سال تحصیلی </w:t>
      </w:r>
      <w:r w:rsidR="00462F85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400</w:t>
      </w:r>
      <w:r w:rsidRPr="009B673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-139</w:t>
      </w:r>
      <w:r w:rsidR="00462F85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9</w:t>
      </w:r>
    </w:p>
    <w:p w:rsidR="009B673D" w:rsidRPr="009B673D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نیاز سنجی منابع و خرید کتاب از کتابفروشی های استانی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ورود اطلاعات منابع اطلاعاتی در نرم افزار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برگزاری کارگاه جستجوی پیشرفته به صورت وبینار در محیط اسکاروم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هماهنگی و همکاری در انجام امور مربوط به واحدهای تابع (علم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 xml:space="preserve"> سنجی و مرکز مشاوره پژوهش)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Pr="00462F85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097987" w:rsidRPr="009B673D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lastRenderedPageBreak/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مشاوره در انتخاب مجله جهت ارسال مقاله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تهیه ویدئوهای آموزشی برای ایجاد پروفایل پژوهشی در پایگاه های </w:t>
      </w:r>
      <w:r w:rsidRPr="00462F85">
        <w:rPr>
          <w:b/>
          <w:bCs/>
          <w:shd w:val="clear" w:color="auto" w:fill="FFFFFF"/>
        </w:rPr>
        <w:t>Google Scholar</w:t>
      </w:r>
      <w:r w:rsidRPr="00462F85">
        <w:rPr>
          <w:rFonts w:ascii="Helvetica" w:hAnsi="Helvetica" w:cs="Helvetica"/>
          <w:sz w:val="21"/>
          <w:szCs w:val="21"/>
          <w:shd w:val="clear" w:color="auto" w:fill="FFFFFF"/>
          <w:rtl/>
        </w:rPr>
        <w:t xml:space="preserve">، 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Helvetica" w:hAnsi="Helvetica" w:cs="Helvetica"/>
          <w:sz w:val="21"/>
          <w:szCs w:val="21"/>
          <w:shd w:val="clear" w:color="auto" w:fill="FFFFFF"/>
          <w:rtl/>
        </w:rPr>
        <w:t xml:space="preserve">، </w:t>
      </w:r>
      <w:r w:rsidRPr="00462F85">
        <w:rPr>
          <w:b/>
          <w:bCs/>
          <w:shd w:val="clear" w:color="auto" w:fill="FFFFFF"/>
        </w:rPr>
        <w:t>PUBLONS</w:t>
      </w:r>
      <w:r w:rsidRPr="00462F85">
        <w:rPr>
          <w:b/>
          <w:bCs/>
          <w:shd w:val="clear" w:color="auto" w:fill="FFFFFF"/>
          <w:rtl/>
        </w:rPr>
        <w:t xml:space="preserve"> و </w:t>
      </w:r>
      <w:proofErr w:type="spellStart"/>
      <w:r w:rsidRPr="00462F85">
        <w:rPr>
          <w:b/>
          <w:bCs/>
          <w:shd w:val="clear" w:color="auto" w:fill="FFFFFF"/>
        </w:rPr>
        <w:t>Researchgate</w:t>
      </w:r>
      <w:proofErr w:type="spellEnd"/>
      <w:r w:rsidRPr="00462F85">
        <w:rPr>
          <w:rFonts w:ascii="Calibri" w:hAnsi="Calibri"/>
          <w:sz w:val="22"/>
          <w:szCs w:val="22"/>
          <w:shd w:val="clear" w:color="auto" w:fill="FFFFFF"/>
          <w:rtl/>
        </w:rPr>
        <w:t xml:space="preserve">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 درج لینک آن ها در سایت کتابخانه و قسمت علم سنجی دانشکده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تهیه ویدئوی آموزشی برای نحوه درج اطلاعات در سامانه علم سنجی وزرات بهداشت و درج لینک آن در سایت دانشکده در قسمت کتابخانه و علم سنجی </w:t>
      </w:r>
    </w:p>
    <w:p w:rsidR="009B673D" w:rsidRPr="009B673D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رفرنس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نویسی به سبک ونکور به صورت انفرادی برای هر نفر متقاضی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, Cochrane library, 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google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9B673D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3A780A" w:rsidRDefault="003A780A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5008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2134</w:t>
            </w:r>
          </w:p>
        </w:tc>
        <w:tc>
          <w:tcPr>
            <w:tcW w:w="1053" w:type="dxa"/>
            <w:vAlign w:val="center"/>
          </w:tcPr>
          <w:p w:rsidR="003A780A" w:rsidRPr="00462F85" w:rsidRDefault="00BD3A01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</w:t>
            </w:r>
            <w:r w:rsidR="0098753B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10931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2450</w:t>
            </w:r>
          </w:p>
        </w:tc>
        <w:tc>
          <w:tcPr>
            <w:tcW w:w="1053" w:type="dxa"/>
            <w:vAlign w:val="center"/>
          </w:tcPr>
          <w:p w:rsidR="003A780A" w:rsidRPr="00462F85" w:rsidRDefault="00BD3A01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</w:t>
            </w:r>
            <w:r w:rsidR="0098753B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C77EF1" w:rsidRDefault="00C77EF1" w:rsidP="00ED2B6B">
      <w:pPr>
        <w:rPr>
          <w:rtl/>
        </w:rPr>
      </w:pPr>
      <w:bookmarkStart w:id="0" w:name="_GoBack"/>
      <w:bookmarkEnd w:id="0"/>
    </w:p>
    <w:p w:rsidR="00CE564C" w:rsidRDefault="00CE564C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A86EF7" w:rsidRPr="003A780A" w:rsidRDefault="00A86EF7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دانشکده به تفکیک </w:t>
      </w:r>
      <w:r w:rsidR="00904767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دهه</w:t>
      </w:r>
    </w:p>
    <w:tbl>
      <w:tblPr>
        <w:tblStyle w:val="TableGrid"/>
        <w:bidiVisual/>
        <w:tblW w:w="5387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</w:tblGrid>
      <w:tr w:rsidR="00462F85" w:rsidRPr="00462F85" w:rsidTr="00C07D2B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</w:tr>
      <w:tr w:rsidR="00462F85" w:rsidRPr="00462F85" w:rsidTr="00C07D2B">
        <w:trPr>
          <w:jc w:val="center"/>
        </w:trPr>
        <w:tc>
          <w:tcPr>
            <w:tcW w:w="925" w:type="dxa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 عنوان</w:t>
            </w:r>
          </w:p>
        </w:tc>
        <w:tc>
          <w:tcPr>
            <w:tcW w:w="1276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</w:tr>
      <w:tr w:rsidR="00462F85" w:rsidRPr="00462F85" w:rsidTr="00C07D2B">
        <w:trPr>
          <w:jc w:val="center"/>
        </w:trPr>
        <w:tc>
          <w:tcPr>
            <w:tcW w:w="925" w:type="dxa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ا عنوان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2B6B" w:rsidRPr="00ED2B6B" w:rsidRDefault="00ED2B6B" w:rsidP="00ED2B6B"/>
    <w:p w:rsidR="00ED2B6B" w:rsidRDefault="00ED2B6B" w:rsidP="00ED2B6B"/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97987"/>
    <w:rsid w:val="002B2C11"/>
    <w:rsid w:val="002D384E"/>
    <w:rsid w:val="003225B5"/>
    <w:rsid w:val="00362EC0"/>
    <w:rsid w:val="003A780A"/>
    <w:rsid w:val="003C20C3"/>
    <w:rsid w:val="00462F85"/>
    <w:rsid w:val="004B040A"/>
    <w:rsid w:val="00591302"/>
    <w:rsid w:val="007C441B"/>
    <w:rsid w:val="007C498A"/>
    <w:rsid w:val="008E3C6E"/>
    <w:rsid w:val="00904767"/>
    <w:rsid w:val="00985FBF"/>
    <w:rsid w:val="0098753B"/>
    <w:rsid w:val="00994A1D"/>
    <w:rsid w:val="009B673D"/>
    <w:rsid w:val="009D583F"/>
    <w:rsid w:val="00A86EF7"/>
    <w:rsid w:val="00BD3A01"/>
    <w:rsid w:val="00C07D2B"/>
    <w:rsid w:val="00C77EF1"/>
    <w:rsid w:val="00CE564C"/>
    <w:rsid w:val="00ED2B6B"/>
    <w:rsid w:val="00E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r>
              <a:rPr lang="fa-IR" sz="1400" b="1">
                <a:solidFill>
                  <a:srgbClr val="FF0000"/>
                </a:solidFill>
                <a:effectLst/>
              </a:rPr>
              <a:t>آمار کتب تالیفی و ترجمه اعضای هیات علمی دانشکده به تفکیک دهه</a:t>
            </a:r>
            <a:endParaRPr lang="en-US" sz="1400">
              <a:solidFill>
                <a:srgbClr val="FF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18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709464"/>
        <c:axId val="367709856"/>
      </c:barChart>
      <c:catAx>
        <c:axId val="367709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endParaRPr lang="fa-IR"/>
          </a:p>
        </c:txPr>
        <c:crossAx val="367709856"/>
        <c:crosses val="autoZero"/>
        <c:auto val="1"/>
        <c:lblAlgn val="ctr"/>
        <c:lblOffset val="100"/>
        <c:noMultiLvlLbl val="0"/>
      </c:catAx>
      <c:valAx>
        <c:axId val="36770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endParaRPr lang="fa-IR"/>
          </a:p>
        </c:txPr>
        <c:crossAx val="367709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cs typeface="B Titr" panose="00000700000000000000" pitchFamily="2" charset="-78"/>
        </a:defRPr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C6D6-EDC5-4C85-AB18-D462A28E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22</cp:revision>
  <cp:lastPrinted>2020-12-14T06:23:00Z</cp:lastPrinted>
  <dcterms:created xsi:type="dcterms:W3CDTF">2020-11-14T08:10:00Z</dcterms:created>
  <dcterms:modified xsi:type="dcterms:W3CDTF">2021-09-28T10:35:00Z</dcterms:modified>
</cp:coreProperties>
</file>